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480"/>
        <w:rPr>
          <w:rFonts w:ascii="Times New Roman" w:cs="Times New Roman" w:hAnsi="Times New Roman"/>
          <w:bCs/>
          <w:sz w:val="24"/>
          <w:szCs w:val="24"/>
        </w:rPr>
      </w:pPr>
      <w:r>
        <w:rPr>
          <w:rFonts w:ascii="Times New Roman" w:cs="Times New Roman" w:hAnsi="Times New Roman"/>
          <w:bCs/>
          <w:sz w:val="24"/>
          <w:szCs w:val="24"/>
        </w:rPr>
        <w:t xml:space="preserve">  </w:t>
      </w: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jc w:val="center"/>
        <w:rPr>
          <w:rFonts w:ascii="Times New Roman" w:cs="Times New Roman" w:hAnsi="Times New Roman"/>
          <w:bCs/>
          <w:sz w:val="24"/>
          <w:szCs w:val="24"/>
        </w:rPr>
      </w:pPr>
    </w:p>
    <w:p>
      <w:pPr>
        <w:pStyle w:val="style0"/>
        <w:spacing w:after="0" w:lineRule="auto" w:line="480"/>
        <w:ind w:left="2880"/>
        <w:rPr>
          <w:rFonts w:ascii="Times New Roman" w:cs="Times New Roman" w:eastAsia="Times New Roman" w:hAnsi="Times New Roman"/>
          <w:b/>
          <w:sz w:val="24"/>
          <w:szCs w:val="24"/>
        </w:rPr>
      </w:pPr>
      <w:r>
        <w:rPr>
          <w:rFonts w:ascii="Times New Roman" w:cs="Times New Roman" w:eastAsia="Times New Roman" w:hAnsi="Times New Roman"/>
          <w:b/>
          <w:sz w:val="24"/>
          <w:szCs w:val="24"/>
        </w:rPr>
        <w:t>Cystic Fibrosis</w:t>
      </w:r>
    </w:p>
    <w:p>
      <w:pPr>
        <w:pStyle w:val="style0"/>
        <w:spacing w:after="0" w:lineRule="auto" w:line="480"/>
        <w:jc w:val="center"/>
        <w:rPr>
          <w:rFonts w:ascii="Times New Roman" w:cs="Times New Roman" w:hAnsi="Times New Roman"/>
          <w:bCs/>
          <w:sz w:val="24"/>
          <w:szCs w:val="24"/>
        </w:rPr>
      </w:pPr>
      <w:r>
        <w:rPr>
          <w:rFonts w:ascii="Times New Roman" w:cs="Times New Roman" w:hAnsi="Times New Roman"/>
          <w:bCs/>
          <w:sz w:val="24"/>
          <w:szCs w:val="24"/>
        </w:rPr>
        <w:t>Student’s Name</w:t>
      </w:r>
    </w:p>
    <w:p>
      <w:pPr>
        <w:pStyle w:val="style0"/>
        <w:spacing w:after="0" w:lineRule="auto" w:line="480"/>
        <w:jc w:val="center"/>
        <w:rPr>
          <w:rFonts w:ascii="Times New Roman" w:cs="Times New Roman" w:hAnsi="Times New Roman"/>
          <w:bCs/>
          <w:sz w:val="24"/>
          <w:szCs w:val="24"/>
        </w:rPr>
      </w:pPr>
      <w:r>
        <w:rPr>
          <w:rFonts w:ascii="Times New Roman" w:cs="Times New Roman" w:hAnsi="Times New Roman"/>
          <w:bCs/>
          <w:sz w:val="24"/>
          <w:szCs w:val="24"/>
        </w:rPr>
        <w:t>Institutional Affiliation</w:t>
      </w:r>
    </w:p>
    <w:p>
      <w:pPr>
        <w:pStyle w:val="style0"/>
        <w:spacing w:after="0" w:lineRule="auto" w:line="480"/>
        <w:jc w:val="center"/>
        <w:rPr>
          <w:rFonts w:ascii="Times New Roman" w:cs="Times New Roman" w:hAnsi="Times New Roman"/>
          <w:bCs/>
          <w:sz w:val="24"/>
          <w:szCs w:val="24"/>
        </w:rPr>
      </w:pPr>
      <w:r>
        <w:rPr>
          <w:rFonts w:ascii="Times New Roman" w:cs="Times New Roman" w:hAnsi="Times New Roman"/>
          <w:bCs/>
          <w:sz w:val="24"/>
          <w:szCs w:val="24"/>
        </w:rPr>
        <w:t>Course</w:t>
      </w:r>
    </w:p>
    <w:p>
      <w:pPr>
        <w:pStyle w:val="style0"/>
        <w:spacing w:after="0" w:lineRule="auto" w:line="480"/>
        <w:jc w:val="center"/>
        <w:rPr>
          <w:rFonts w:ascii="Times New Roman" w:cs="Times New Roman" w:hAnsi="Times New Roman"/>
          <w:bCs/>
          <w:sz w:val="24"/>
          <w:szCs w:val="24"/>
        </w:rPr>
      </w:pPr>
      <w:r>
        <w:rPr>
          <w:rFonts w:ascii="Times New Roman" w:cs="Times New Roman" w:hAnsi="Times New Roman"/>
          <w:bCs/>
          <w:sz w:val="24"/>
          <w:szCs w:val="24"/>
        </w:rPr>
        <w:t xml:space="preserve">Professor’s Name </w:t>
      </w:r>
      <w:r>
        <w:rPr>
          <w:rFonts w:ascii="Times New Roman" w:cs="Times New Roman" w:hAnsi="Times New Roman"/>
          <w:bCs/>
          <w:sz w:val="24"/>
          <w:szCs w:val="24"/>
        </w:rPr>
        <w:br/>
      </w:r>
      <w:r>
        <w:rPr>
          <w:rFonts w:ascii="Times New Roman" w:cs="Times New Roman" w:hAnsi="Times New Roman"/>
          <w:bCs/>
          <w:sz w:val="24"/>
          <w:szCs w:val="24"/>
        </w:rPr>
        <w:t>Date</w:t>
      </w: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rPr>
          <w:rFonts w:ascii="Times New Roman" w:cs="Times New Roman" w:hAnsi="Times New Roman"/>
          <w:bCs/>
          <w:sz w:val="24"/>
          <w:szCs w:val="24"/>
        </w:rPr>
      </w:pPr>
    </w:p>
    <w:p>
      <w:pPr>
        <w:pStyle w:val="style0"/>
        <w:spacing w:after="0" w:lineRule="auto" w:line="480"/>
        <w:ind w:left="2880" w:firstLine="720"/>
        <w:rPr>
          <w:rFonts w:ascii="Times New Roman" w:cs="Times New Roman" w:eastAsia="Times New Roman" w:hAnsi="Times New Roman"/>
          <w:b/>
          <w:sz w:val="24"/>
          <w:szCs w:val="24"/>
        </w:rPr>
      </w:pPr>
      <w:r>
        <w:rPr>
          <w:rFonts w:ascii="Times New Roman" w:cs="Times New Roman" w:eastAsia="Times New Roman" w:hAnsi="Times New Roman"/>
          <w:b/>
          <w:sz w:val="24"/>
          <w:szCs w:val="24"/>
        </w:rPr>
        <w:t>Cystic Fibrosis</w:t>
      </w:r>
    </w:p>
    <w:p>
      <w:pPr>
        <w:pStyle w:val="style0"/>
        <w:tabs>
          <w:tab w:val="left" w:leader="none" w:pos="3135"/>
        </w:tabs>
        <w:spacing w:after="0" w:lineRule="auto" w:line="480"/>
        <w:ind w:firstLine="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Common genetic illness Cystic F</w:t>
      </w:r>
      <w:r>
        <w:rPr>
          <w:rFonts w:ascii="Times New Roman" w:cs="Times New Roman" w:hAnsi="Times New Roman"/>
          <w:color w:val="222222"/>
          <w:sz w:val="24"/>
          <w:szCs w:val="24"/>
          <w:shd w:val="clear" w:color="auto" w:fill="ffffff"/>
        </w:rPr>
        <w:t>i</w:t>
      </w:r>
      <w:r>
        <w:rPr>
          <w:rFonts w:ascii="Times New Roman" w:cs="Times New Roman" w:hAnsi="Times New Roman"/>
          <w:color w:val="222222"/>
          <w:sz w:val="24"/>
          <w:szCs w:val="24"/>
          <w:shd w:val="clear" w:color="auto" w:fill="ffffff"/>
        </w:rPr>
        <w:t>brosis, a multisystem condition, has recently been linked to abnormalities in the newly identified protein (CFTR) responsible for its development. For example, the chloride concentration in sweat gland secretions as well as pulmonary, GI, and reproductive tract secretions is controlled by CFTR (a molecular channel). Insufficient hydration of mucus, pancreatic juice, and other exocrine secretions is caused by defective versions of CFTR, which result from different mutations in its gene. Pneumonitis and other organ failure are the consequence</w:t>
      </w:r>
      <w:r>
        <w:rPr>
          <w:rFonts w:ascii="Times New Roman" w:cs="Times New Roman" w:hAnsi="Times New Roman"/>
          <w:color w:val="222222"/>
          <w:sz w:val="24"/>
          <w:szCs w:val="24"/>
          <w:shd w:val="clear" w:color="auto" w:fill="ffffff"/>
        </w:rPr>
        <w:t xml:space="preserve"> (Bell et.al, 2020)</w:t>
      </w:r>
      <w:r>
        <w:rPr>
          <w:rFonts w:ascii="Times New Roman" w:cs="Times New Roman" w:hAnsi="Times New Roman"/>
          <w:color w:val="222222"/>
          <w:sz w:val="24"/>
          <w:szCs w:val="24"/>
          <w:shd w:val="clear" w:color="auto" w:fill="ffffff"/>
        </w:rPr>
        <w:t>.</w:t>
      </w:r>
    </w:p>
    <w:p>
      <w:pPr>
        <w:pStyle w:val="style0"/>
        <w:tabs>
          <w:tab w:val="left" w:leader="none" w:pos="3135"/>
        </w:tabs>
        <w:spacing w:after="0" w:lineRule="auto" w:line="480"/>
        <w:ind w:firstLine="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Compressors, nebulizers, and airway clearance devices are the most widely utilized components of CF treatment equipment. These may be purchased from a number of merchants in British Columbia, including those listed below. To find out what equipment you should use to take your prescriptions, speak with your clinic physiotherapist or pharmacist.</w:t>
      </w:r>
    </w:p>
    <w:p>
      <w:pPr>
        <w:pStyle w:val="style0"/>
        <w:tabs>
          <w:tab w:val="left" w:leader="none" w:pos="3135"/>
        </w:tabs>
        <w:spacing w:after="0" w:lineRule="auto" w:line="480"/>
        <w:ind w:firstLine="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Antibiotics have been used to treat infections and digestive enzymes and vitamins have been supplemented in cystic fibrosis drug therapy. New drugs and gene therapy might drastically reduce the disease's morbidity and death.</w:t>
      </w:r>
    </w:p>
    <w:p>
      <w:pPr>
        <w:pStyle w:val="style0"/>
        <w:tabs>
          <w:tab w:val="left" w:leader="none" w:pos="3135"/>
        </w:tabs>
        <w:spacing w:after="0" w:lineRule="auto" w:line="480"/>
        <w:ind w:firstLine="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A sweat chloride test, a genetic or carrier test, and a clinical examination at a CF Foundation-accredited care facility should all be part of a comprehensive diagnostic evaluation for CF. Most children are now tested for CF at birth, and the majority are diagnosed by the age of two.</w:t>
      </w:r>
      <w:r>
        <w:rPr>
          <w:rFonts w:ascii="Times New Roman" w:cs="Times New Roman" w:hAnsi="Times New Roman"/>
          <w:color w:val="222222"/>
          <w:sz w:val="24"/>
          <w:szCs w:val="24"/>
          <w:shd w:val="clear" w:color="auto" w:fill="ffffff"/>
        </w:rPr>
        <w:t xml:space="preserve"> </w:t>
      </w:r>
      <w:r>
        <w:rPr>
          <w:rFonts w:ascii="Times New Roman" w:cs="Times New Roman" w:hAnsi="Times New Roman"/>
          <w:color w:val="222222"/>
          <w:sz w:val="24"/>
          <w:szCs w:val="24"/>
          <w:shd w:val="clear" w:color="auto" w:fill="ffffff"/>
        </w:rPr>
        <w:t>During an arterial blood gas test, the amounts of oxygen and carbon dioxide in the blood are measured</w:t>
      </w:r>
      <w:r>
        <w:rPr>
          <w:rFonts w:ascii="Times New Roman" w:cs="Times New Roman" w:hAnsi="Times New Roman"/>
          <w:color w:val="222222"/>
          <w:sz w:val="24"/>
          <w:szCs w:val="24"/>
          <w:shd w:val="clear" w:color="auto" w:fill="ffffff"/>
        </w:rPr>
        <w:t xml:space="preserve"> (Goetz &amp; Ren, 2019)</w:t>
      </w:r>
      <w:r>
        <w:rPr>
          <w:rFonts w:ascii="Times New Roman" w:cs="Times New Roman" w:hAnsi="Times New Roman"/>
          <w:color w:val="222222"/>
          <w:sz w:val="24"/>
          <w:szCs w:val="24"/>
          <w:shd w:val="clear" w:color="auto" w:fill="ffffff"/>
        </w:rPr>
        <w:t xml:space="preserve">. Acid-base (pH) levels are also measured, which are generally in equilibrium in a healthy person. Patients in the hospital or those who have suffered a major accident or sickness may be subjected to this test. The test offers a doctor information on the health of the lungs, heart, and kidneys. For the human body to function, every cell need </w:t>
      </w:r>
      <w:r>
        <w:rPr>
          <w:rFonts w:ascii="Times New Roman" w:cs="Times New Roman" w:hAnsi="Times New Roman"/>
          <w:color w:val="222222"/>
          <w:sz w:val="24"/>
          <w:szCs w:val="24"/>
          <w:shd w:val="clear" w:color="auto" w:fill="ffffff"/>
        </w:rPr>
        <w:t>oxygen. It is through the lungs that oxygen enters the bloodstream and carbon dioxide is expelled. It is this process, known as gas exchange, that allows us to breathe.</w:t>
      </w:r>
    </w:p>
    <w:p>
      <w:pPr>
        <w:pStyle w:val="style0"/>
        <w:tabs>
          <w:tab w:val="left" w:leader="none" w:pos="3135"/>
        </w:tabs>
        <w:spacing w:after="0" w:lineRule="auto" w:line="480"/>
        <w:ind w:firstLine="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The cornerstone of airway clearing methods is huff coughing. It entails slowly and forcefully inhaling and exhaling. It is not as powerful as full-fledged coughing, but it may function better and be less exhausting. Typically, a cycle of four to five huff coughs is coupled with additional ACTs.</w:t>
      </w:r>
    </w:p>
    <w:p>
      <w:pPr>
        <w:pStyle w:val="style0"/>
        <w:tabs>
          <w:tab w:val="left" w:leader="none" w:pos="3135"/>
        </w:tabs>
        <w:spacing w:after="0" w:lineRule="auto" w:line="480"/>
        <w:ind w:firstLine="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Unless the SpO2 is less than 92 percent, oxygen therapy is typically not required. If the SpO2 level is less than 92 percent, don't administer oxygen. Without explicit medical instructions, oxygen treatment (concentration and flow) can be changed in most cases, although medical orders take precedence over these standing orders.</w:t>
      </w:r>
    </w:p>
    <w:p>
      <w:pPr>
        <w:pStyle w:val="style0"/>
        <w:tabs>
          <w:tab w:val="left" w:leader="none" w:pos="3135"/>
        </w:tabs>
        <w:spacing w:after="0" w:lineRule="auto" w:line="480"/>
        <w:ind w:firstLine="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 xml:space="preserve">As a standard, –2 cm of water is used. Overly negative settings (such as those that go below 2 cm H2O) cause weak individuals to be unable to inhale properly. The machine may </w:t>
      </w:r>
      <w:r>
        <w:rPr>
          <w:rFonts w:ascii="Times New Roman" w:cs="Times New Roman" w:hAnsi="Times New Roman"/>
          <w:color w:val="222222"/>
          <w:sz w:val="24"/>
          <w:szCs w:val="24"/>
          <w:shd w:val="clear" w:color="auto" w:fill="ffffff"/>
        </w:rPr>
        <w:t>overventilate</w:t>
      </w:r>
      <w:r>
        <w:rPr>
          <w:rFonts w:ascii="Times New Roman" w:cs="Times New Roman" w:hAnsi="Times New Roman"/>
          <w:color w:val="222222"/>
          <w:sz w:val="24"/>
          <w:szCs w:val="24"/>
          <w:shd w:val="clear" w:color="auto" w:fill="ffffff"/>
        </w:rPr>
        <w:t xml:space="preserve"> if the setting is too low (e.g., less negative than –2 cm H2O).</w:t>
      </w:r>
    </w:p>
    <w:p>
      <w:pPr>
        <w:pStyle w:val="style0"/>
        <w:tabs>
          <w:tab w:val="left" w:leader="none" w:pos="3135"/>
        </w:tabs>
        <w:spacing w:after="0" w:lineRule="auto" w:line="480"/>
        <w:ind w:firstLine="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Asthma and recurring respiratory tract infections and sinusitis plagued a 26-year-old woman. Because of her chronic cough, she missed school and work on a regular basis. It was determined that her gastrointestinal system was normal. Recent spirometry indicated a forced expiratory volume in one second (FEV1) of 73 percent of anticipated, and bronchodilators had no effect on her FEV1 reading.</w:t>
      </w:r>
      <w:r>
        <w:rPr>
          <w:rFonts w:ascii="Times New Roman" w:cs="Times New Roman" w:hAnsi="Times New Roman"/>
          <w:color w:val="222222"/>
          <w:sz w:val="24"/>
          <w:szCs w:val="24"/>
          <w:shd w:val="clear" w:color="auto" w:fill="ffffff"/>
        </w:rPr>
        <w:t xml:space="preserve"> </w:t>
      </w:r>
      <w:r>
        <w:rPr>
          <w:rFonts w:ascii="Times New Roman" w:cs="Times New Roman" w:hAnsi="Times New Roman"/>
          <w:color w:val="222222"/>
          <w:sz w:val="24"/>
          <w:szCs w:val="24"/>
          <w:shd w:val="clear" w:color="auto" w:fill="ffffff"/>
        </w:rPr>
        <w:t>Unexpected airway dilatation and thickening was noted on a chest radiograph taken during an emergency department visit</w:t>
      </w:r>
      <w:r>
        <w:rPr>
          <w:rFonts w:ascii="Times New Roman" w:cs="Times New Roman" w:hAnsi="Times New Roman"/>
          <w:color w:val="222222"/>
          <w:sz w:val="24"/>
          <w:szCs w:val="24"/>
          <w:shd w:val="clear" w:color="auto" w:fill="ffffff"/>
        </w:rPr>
        <w:t xml:space="preserve"> (Bell et.al, 2020)</w:t>
      </w:r>
      <w:r>
        <w:rPr>
          <w:rFonts w:ascii="Times New Roman" w:cs="Times New Roman" w:hAnsi="Times New Roman"/>
          <w:color w:val="222222"/>
          <w:sz w:val="24"/>
          <w:szCs w:val="24"/>
          <w:shd w:val="clear" w:color="auto" w:fill="ffffff"/>
        </w:rPr>
        <w:t>. In addition, a computed tomography (CT) scan of the chest was requested. An evalu</w:t>
      </w:r>
      <w:bookmarkStart w:id="0" w:name="_GoBack"/>
      <w:bookmarkEnd w:id="0"/>
      <w:r>
        <w:rPr>
          <w:rFonts w:ascii="Times New Roman" w:cs="Times New Roman" w:hAnsi="Times New Roman"/>
          <w:color w:val="222222"/>
          <w:sz w:val="24"/>
          <w:szCs w:val="24"/>
          <w:shd w:val="clear" w:color="auto" w:fill="ffffff"/>
        </w:rPr>
        <w:t xml:space="preserve">ation for upper lobe bronchitis was begun at the hospital based on these clinical findings. </w:t>
      </w:r>
      <w:r>
        <w:rPr>
          <w:rFonts w:ascii="Times New Roman" w:cs="Times New Roman" w:hAnsi="Times New Roman"/>
          <w:color w:val="222222"/>
          <w:sz w:val="24"/>
          <w:szCs w:val="24"/>
          <w:shd w:val="clear" w:color="auto" w:fill="ffffff"/>
        </w:rPr>
        <w:t>Ses</w:t>
      </w:r>
      <w:r>
        <w:rPr>
          <w:rFonts w:ascii="Times New Roman" w:cs="Times New Roman" w:hAnsi="Times New Roman"/>
          <w:color w:val="222222"/>
          <w:sz w:val="24"/>
          <w:szCs w:val="24"/>
          <w:shd w:val="clear" w:color="auto" w:fill="ffffff"/>
        </w:rPr>
        <w:t xml:space="preserve"> immunoglobulin levels were normal. These results put her in the "middle" category. Her values were 50 mmol/L and 52 </w:t>
      </w:r>
      <w:r>
        <w:rPr>
          <w:rFonts w:ascii="Times New Roman" w:cs="Times New Roman" w:hAnsi="Times New Roman"/>
          <w:color w:val="222222"/>
          <w:sz w:val="24"/>
          <w:szCs w:val="24"/>
          <w:shd w:val="clear" w:color="auto" w:fill="ffffff"/>
        </w:rPr>
        <w:t>mmol/L. Chloride levels in sweat that are less than 60 mmol/L in this clinical situation are considered diagnostic for CF in this context.</w:t>
      </w: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p>
    <w:p>
      <w:pPr>
        <w:pStyle w:val="style0"/>
        <w:tabs>
          <w:tab w:val="left" w:leader="none" w:pos="3135"/>
        </w:tabs>
        <w:spacing w:after="0" w:lineRule="auto" w:line="480"/>
        <w:ind w:firstLine="720"/>
        <w:jc w:val="center"/>
        <w:rPr>
          <w:rFonts w:ascii="Times New Roman" w:cs="Times New Roman" w:hAnsi="Times New Roman"/>
          <w:b/>
          <w:bCs/>
          <w:color w:val="222222"/>
          <w:sz w:val="24"/>
          <w:szCs w:val="24"/>
          <w:shd w:val="clear" w:color="auto" w:fill="ffffff"/>
        </w:rPr>
      </w:pPr>
      <w:r>
        <w:rPr>
          <w:rFonts w:ascii="Times New Roman" w:cs="Times New Roman" w:hAnsi="Times New Roman"/>
          <w:b/>
          <w:bCs/>
          <w:color w:val="222222"/>
          <w:sz w:val="24"/>
          <w:szCs w:val="24"/>
          <w:shd w:val="clear" w:color="auto" w:fill="ffffff"/>
        </w:rPr>
        <w:t>References</w:t>
      </w:r>
    </w:p>
    <w:p>
      <w:pPr>
        <w:pStyle w:val="style0"/>
        <w:tabs>
          <w:tab w:val="left" w:leader="none" w:pos="1575"/>
        </w:tabs>
        <w:spacing w:after="0"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 xml:space="preserve">Bell, S. C., Mall, M. A., Gutierrez, H., </w:t>
      </w:r>
      <w:r>
        <w:rPr>
          <w:rFonts w:ascii="Times New Roman" w:cs="Times New Roman" w:hAnsi="Times New Roman"/>
          <w:color w:val="222222"/>
          <w:sz w:val="24"/>
          <w:szCs w:val="24"/>
          <w:shd w:val="clear" w:color="auto" w:fill="ffffff"/>
        </w:rPr>
        <w:t>Macek</w:t>
      </w:r>
      <w:r>
        <w:rPr>
          <w:rFonts w:ascii="Times New Roman" w:cs="Times New Roman" w:hAnsi="Times New Roman"/>
          <w:color w:val="222222"/>
          <w:sz w:val="24"/>
          <w:szCs w:val="24"/>
          <w:shd w:val="clear" w:color="auto" w:fill="ffffff"/>
        </w:rPr>
        <w:t xml:space="preserve">, M., Madge, S., Davies, J. C., ... &amp; </w:t>
      </w:r>
      <w:r>
        <w:rPr>
          <w:rFonts w:ascii="Times New Roman" w:cs="Times New Roman" w:hAnsi="Times New Roman"/>
          <w:color w:val="222222"/>
          <w:sz w:val="24"/>
          <w:szCs w:val="24"/>
          <w:shd w:val="clear" w:color="auto" w:fill="ffffff"/>
        </w:rPr>
        <w:t>Ratjen</w:t>
      </w:r>
      <w:r>
        <w:rPr>
          <w:rFonts w:ascii="Times New Roman" w:cs="Times New Roman" w:hAnsi="Times New Roman"/>
          <w:color w:val="222222"/>
          <w:sz w:val="24"/>
          <w:szCs w:val="24"/>
          <w:shd w:val="clear" w:color="auto" w:fill="ffffff"/>
        </w:rPr>
        <w:t>, F. (2020). The future of cystic fibrosis care: a global perspective. </w:t>
      </w:r>
      <w:r>
        <w:rPr>
          <w:rFonts w:ascii="Times New Roman" w:cs="Times New Roman" w:hAnsi="Times New Roman"/>
          <w:i/>
          <w:iCs/>
          <w:color w:val="222222"/>
          <w:sz w:val="24"/>
          <w:szCs w:val="24"/>
          <w:shd w:val="clear" w:color="auto" w:fill="ffffff"/>
        </w:rPr>
        <w:t>The Lancet Respiratory Medicine</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8</w:t>
      </w:r>
      <w:r>
        <w:rPr>
          <w:rFonts w:ascii="Times New Roman" w:cs="Times New Roman" w:hAnsi="Times New Roman"/>
          <w:color w:val="222222"/>
          <w:sz w:val="24"/>
          <w:szCs w:val="24"/>
          <w:shd w:val="clear" w:color="auto" w:fill="ffffff"/>
        </w:rPr>
        <w:t>(1), 65-124.</w:t>
      </w:r>
    </w:p>
    <w:p>
      <w:pPr>
        <w:pStyle w:val="style0"/>
        <w:tabs>
          <w:tab w:val="left" w:leader="none" w:pos="1575"/>
        </w:tabs>
        <w:spacing w:after="0"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Goetz, D., &amp; Ren, C. L. (2019). Review of cystic fibrosis. </w:t>
      </w:r>
      <w:r>
        <w:rPr>
          <w:rFonts w:ascii="Times New Roman" w:cs="Times New Roman" w:hAnsi="Times New Roman"/>
          <w:i/>
          <w:iCs/>
          <w:color w:val="222222"/>
          <w:sz w:val="24"/>
          <w:szCs w:val="24"/>
          <w:shd w:val="clear" w:color="auto" w:fill="ffffff"/>
        </w:rPr>
        <w:t>Pediatric annals</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48</w:t>
      </w:r>
      <w:r>
        <w:rPr>
          <w:rFonts w:ascii="Times New Roman" w:cs="Times New Roman" w:hAnsi="Times New Roman"/>
          <w:color w:val="222222"/>
          <w:sz w:val="24"/>
          <w:szCs w:val="24"/>
          <w:shd w:val="clear" w:color="auto" w:fill="ffffff"/>
        </w:rPr>
        <w:t>(4), e154-e161.</w:t>
      </w: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mbria">
    <w:altName w:val="Cambria"/>
    <w:panose1 w:val="02040503050004030204"/>
    <w:charset w:val="00"/>
    <w:family w:val="roman"/>
    <w:pitch w:val="variable"/>
    <w:sig w:usb0="E00006FF" w:usb1="420024FF" w:usb2="02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5</w:t>
    </w:r>
    <w:r>
      <w:rPr>
        <w:rFonts w:ascii="Times New Roman" w:cs="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8D86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000001"/>
    <w:multiLevelType w:val="hybridMultilevel"/>
    <w:tmpl w:val="2AA20E44"/>
    <w:lvl w:ilvl="0" w:tplc="14D487F4">
      <w:start w:val="1"/>
      <w:numFmt w:val="bullet"/>
      <w:lvlText w:val="-"/>
      <w:lvlJc w:val="left"/>
      <w:pPr>
        <w:ind w:left="720" w:hanging="360"/>
      </w:pPr>
      <w:rPr>
        <w:rFonts w:ascii="Times New Roman" w:cs="Times New Roman" w:eastAsia="Calibri" w:hAnsi="Times New Roman" w:hint="default"/>
        <w:b w:val="false"/>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E9C0F07C"/>
    <w:lvl w:ilvl="0" w:tplc="3F16A060">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2D766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F59A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B0564584"/>
    <w:lvl w:ilvl="0" w:tplc="686A2E40">
      <w:start w:val="4"/>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C3FA9FAE"/>
    <w:lvl w:ilvl="0">
      <w:start w:val="1"/>
      <w:numFmt w:val="bullet"/>
      <w:lvlText w:val="•"/>
      <w:lvlJc w:val="left"/>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7">
    <w:nsid w:val="00000007"/>
    <w:multiLevelType w:val="hybridMultilevel"/>
    <w:tmpl w:val="DD583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6B4D4234"/>
    <w:lvl w:ilvl="0">
      <w:start w:val="1"/>
      <w:numFmt w:val="bullet"/>
      <w:lvlText w:val="•"/>
      <w:lvlJc w:val="left"/>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9">
    <w:nsid w:val="00000009"/>
    <w:multiLevelType w:val="hybridMultilevel"/>
    <w:tmpl w:val="D0083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000000A"/>
    <w:multiLevelType w:val="hybridMultilevel"/>
    <w:tmpl w:val="02CE1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000000B"/>
    <w:multiLevelType w:val="hybridMultilevel"/>
    <w:tmpl w:val="DDF81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000000C"/>
    <w:multiLevelType w:val="hybridMultilevel"/>
    <w:tmpl w:val="9D2E9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000000D"/>
    <w:multiLevelType w:val="hybridMultilevel"/>
    <w:tmpl w:val="00BC897E"/>
    <w:lvl w:ilvl="0" w:tplc="C9E27FB6">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D51052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E42C2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7F120703"/>
    <w:lvl w:ilvl="0">
      <w:start w:val="1"/>
      <w:numFmt w:val="bullet"/>
      <w:lvlText w:val="•"/>
      <w:lvlJc w:val="left"/>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17">
    <w:nsid w:val="00000011"/>
    <w:multiLevelType w:val="hybridMultilevel"/>
    <w:tmpl w:val="C970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0000012"/>
    <w:multiLevelType w:val="hybridMultilevel"/>
    <w:tmpl w:val="24D21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00000013"/>
    <w:multiLevelType w:val="hybridMultilevel"/>
    <w:tmpl w:val="EA0F03E3"/>
    <w:lvl w:ilvl="0">
      <w:start w:val="1"/>
      <w:numFmt w:val="bullet"/>
      <w:lvlText w:val="•"/>
      <w:lvlJc w:val="left"/>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abstractNum w:abstractNumId="20">
    <w:nsid w:val="00000014"/>
    <w:multiLevelType w:val="hybridMultilevel"/>
    <w:tmpl w:val="8876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15"/>
    <w:multiLevelType w:val="hybridMultilevel"/>
    <w:tmpl w:val="2E48F9CC"/>
    <w:lvl w:ilvl="0" w:tplc="90D0D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00000016"/>
    <w:multiLevelType w:val="hybridMultilevel"/>
    <w:tmpl w:val="D0025790"/>
    <w:lvl w:ilvl="0">
      <w:start w:val="1"/>
      <w:numFmt w:val="bullet"/>
      <w:lvlText w:val="•"/>
      <w:lvlJc w:val="left"/>
      <w:pPr/>
    </w:lvl>
    <w:lvl w:ilvl="1">
      <w:start w:val="1"/>
      <w:numFmt w:val="decimal"/>
      <w:lvlText w:val=""/>
      <w:lvlJc w:val="left"/>
      <w:pPr/>
    </w:lvl>
    <w:lvl w:ilvl="2">
      <w:start w:val="1"/>
      <w:numFmt w:val="decimal"/>
      <w:lvlText w:val=""/>
      <w:lvlJc w:val="left"/>
      <w:pPr/>
    </w:lvl>
    <w:lvl w:ilvl="3">
      <w:start w:val="1"/>
      <w:numFmt w:val="decimal"/>
      <w:lvlText w:val=""/>
      <w:lvlJc w:val="left"/>
      <w:pPr/>
    </w:lvl>
    <w:lvl w:ilvl="4">
      <w:start w:val="1"/>
      <w:numFmt w:val="decimal"/>
      <w:lvlText w:val=""/>
      <w:lvlJc w:val="left"/>
      <w:pPr/>
    </w:lvl>
    <w:lvl w:ilvl="5">
      <w:start w:val="1"/>
      <w:numFmt w:val="decimal"/>
      <w:lvlText w:val=""/>
      <w:lvlJc w:val="left"/>
      <w:pPr/>
    </w:lvl>
    <w:lvl w:ilvl="6">
      <w:start w:val="1"/>
      <w:numFmt w:val="decimal"/>
      <w:lvlText w:val=""/>
      <w:lvlJc w:val="left"/>
      <w:pPr/>
    </w:lvl>
    <w:lvl w:ilvl="7">
      <w:start w:val="1"/>
      <w:numFmt w:val="decimal"/>
      <w:lvlText w:val=""/>
      <w:lvlJc w:val="left"/>
      <w:pPr/>
    </w:lvl>
    <w:lvl w:ilvl="8">
      <w:start w:val="1"/>
      <w:numFmt w:val="decimal"/>
      <w:lvlText w:val=""/>
      <w:lvlJc w:val="left"/>
      <w:pPr/>
    </w:lvl>
  </w:abstractNum>
  <w:num w:numId="1">
    <w:abstractNumId w:val="12"/>
  </w:num>
  <w:num w:numId="2">
    <w:abstractNumId w:val="22"/>
  </w:num>
  <w:num w:numId="3">
    <w:abstractNumId w:val="16"/>
  </w:num>
  <w:num w:numId="4">
    <w:abstractNumId w:val="5"/>
  </w:num>
  <w:num w:numId="5">
    <w:abstractNumId w:val="21"/>
  </w:num>
  <w:num w:numId="6">
    <w:abstractNumId w:val="4"/>
  </w:num>
  <w:num w:numId="7">
    <w:abstractNumId w:val="17"/>
  </w:num>
  <w:num w:numId="8">
    <w:abstractNumId w:val="20"/>
  </w:num>
  <w:num w:numId="9">
    <w:abstractNumId w:val="0"/>
  </w:num>
  <w:num w:numId="10">
    <w:abstractNumId w:val="6"/>
  </w:num>
  <w:num w:numId="11">
    <w:abstractNumId w:val="3"/>
  </w:num>
  <w:num w:numId="12">
    <w:abstractNumId w:val="2"/>
  </w:num>
  <w:num w:numId="13">
    <w:abstractNumId w:val="7"/>
  </w:num>
  <w:num w:numId="14">
    <w:abstractNumId w:val="11"/>
  </w:num>
  <w:num w:numId="15">
    <w:abstractNumId w:val="14"/>
  </w:num>
  <w:num w:numId="16">
    <w:abstractNumId w:val="8"/>
  </w:num>
  <w:num w:numId="17">
    <w:abstractNumId w:val="13"/>
  </w:num>
  <w:num w:numId="18">
    <w:abstractNumId w:val="19"/>
  </w:num>
  <w:num w:numId="19">
    <w:abstractNumId w:val="18"/>
  </w:num>
  <w:num w:numId="20">
    <w:abstractNumId w:val="1"/>
  </w:num>
  <w:num w:numId="21">
    <w:abstractNumId w:val="10"/>
  </w:num>
  <w:num w:numId="22">
    <w:abstractNumId w:val="15"/>
  </w:num>
  <w:num w:numId="23">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2a5dcf8f-a5e2-455b-ade7-4adc293724a0"/>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36fbee82-732a-40d8-81ba-ed95b3177458"/>
    <w:basedOn w:val="style65"/>
    <w:next w:val="style4098"/>
    <w:link w:val="style32"/>
    <w:uiPriority w:val="99"/>
  </w:style>
  <w:style w:type="paragraph" w:styleId="style179">
    <w:name w:val="List Paragraph"/>
    <w:basedOn w:val="style0"/>
    <w:next w:val="style179"/>
    <w:qFormat/>
    <w:uiPriority w:val="34"/>
    <w:pPr>
      <w:ind w:left="720"/>
      <w:contextualSpacing/>
    </w:pPr>
    <w:rPr/>
  </w:style>
  <w:style w:type="character" w:styleId="style88">
    <w:name w:val="Emphasis"/>
    <w:basedOn w:val="style65"/>
    <w:next w:val="style88"/>
    <w:qFormat/>
    <w:uiPriority w:val="20"/>
    <w:rPr>
      <w:i/>
      <w:iCs/>
    </w:rPr>
  </w:style>
  <w:style w:type="character" w:styleId="style85">
    <w:name w:val="Hyperlink"/>
    <w:basedOn w:val="style65"/>
    <w:next w:val="style85"/>
    <w:uiPriority w:val="99"/>
    <w:rPr>
      <w:color w:val="0000ff"/>
      <w:u w:val="single"/>
    </w:rPr>
  </w:style>
  <w:style w:type="character" w:customStyle="1" w:styleId="style4099">
    <w:name w:val="Unresolved Mention"/>
    <w:basedOn w:val="style65"/>
    <w:next w:val="style4099"/>
    <w:uiPriority w:val="99"/>
    <w:rPr>
      <w:color w:val="605e5c"/>
      <w:shd w:val="clear" w:color="auto" w:fill="e1dfdd"/>
    </w:rPr>
  </w:style>
  <w:style w:type="paragraph" w:customStyle="1" w:styleId="style4100">
    <w:name w:val="Default"/>
    <w:next w:val="style4100"/>
    <w:pPr>
      <w:autoSpaceDE w:val="false"/>
      <w:autoSpaceDN w:val="false"/>
      <w:adjustRightInd w:val="false"/>
      <w:spacing w:after="0" w:lineRule="auto" w:line="240"/>
    </w:pPr>
    <w:rPr>
      <w:rFonts w:ascii="Calibri" w:cs="Calibri" w:hAnsi="Calibri"/>
      <w:color w:val="000000"/>
      <w:sz w:val="24"/>
      <w:szCs w:val="24"/>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1">
    <w:name w:val="words"/>
    <w:basedOn w:val="style65"/>
    <w:next w:val="style4101"/>
  </w:style>
  <w:style w:type="character" w:styleId="style87">
    <w:name w:val="Strong"/>
    <w:basedOn w:val="style65"/>
    <w:next w:val="style87"/>
    <w:qFormat/>
    <w:uiPriority w:val="22"/>
    <w:rPr>
      <w:b/>
      <w:bCs/>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688</Words>
  <Pages>5</Pages>
  <Characters>3663</Characters>
  <Application>WPS Office</Application>
  <DocSecurity>0</DocSecurity>
  <Paragraphs>57</Paragraphs>
  <ScaleCrop>false</ScaleCrop>
  <LinksUpToDate>false</LinksUpToDate>
  <CharactersWithSpaces>4336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2021-09-10T12:45:39Z</dcterms:created>
  <dc:creator>acer</dc:creator>
  <lastModifiedBy>SM-N935F</lastModifiedBy>
  <dcterms:modified xsi:type="dcterms:W3CDTF">2021-09-10T12:45:39Z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904f9afe748c4d0790360560e2600451</vt:lpwstr>
  </property>
</Properties>
</file>